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</w:pPr>
      <w:r>
        <w:rPr>
          <w:rFonts w:ascii="Microsoft YaHei" w:hAnsi="Microsoft YaHei" w:eastAsia="Microsoft YaHei"/>
          <w:b/>
          <w:color w:val="2176A3"/>
          <w:sz w:val="26"/>
        </w:rPr>
        <w:t>PSYLENS</w:t>
      </w:r>
    </w:p>
    <w:p>
      <w:pPr>
        <w:spacing w:before="680" w:after="240"/>
      </w:pPr>
      <w:r>
        <w:rPr>
          <w:rFonts w:ascii="Microsoft YaHei" w:hAnsi="Microsoft YaHei" w:eastAsia="Microsoft YaHei"/>
          <w:b/>
          <w:color w:val="12304A"/>
          <w:sz w:val="62"/>
        </w:rPr>
        <w:t>社区反馈分析与</w:t>
        <w:br/>
        <w:t>可靠性评测</w:t>
      </w:r>
    </w:p>
    <w:p>
      <w:pPr>
        <w:spacing w:after="500"/>
      </w:pPr>
      <w:r>
        <w:rPr>
          <w:rFonts w:ascii="Microsoft YaHei" w:hAnsi="Microsoft YaHei" w:eastAsia="Microsoft YaHei"/>
          <w:b w:val="0"/>
          <w:color w:val="2176A3"/>
          <w:sz w:val="30"/>
        </w:rPr>
        <w:t>海克斯大乱斗多平台案例｜公开发布版项目说明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DF5F9"/>
            <w:tcBorders>
              <w:top w:val="single" w:sz="10" w:color="2176A3"/>
              <w:left w:val="single" w:sz="10" w:color="2176A3"/>
              <w:bottom w:val="single" w:sz="10" w:color="2176A3"/>
              <w:right w:val="single" w:sz="10" w:color="2176A3"/>
            </w:tcBorders>
          </w:tcPr>
          <w:p>
            <w:pPr>
              <w:spacing w:before="160" w:after="160"/>
            </w:pPr>
            <w:r>
              <w:rPr>
                <w:rFonts w:ascii="Microsoft YaHei" w:hAnsi="Microsoft YaHei" w:eastAsia="Microsoft YaHei"/>
                <w:b/>
                <w:color w:val="124969"/>
                <w:sz w:val="23"/>
              </w:rPr>
              <w:t>360 条公开样本  ·  927 条证据单元  ·  三个平台等额抽样  ·  文本回溯率 100%</w:t>
            </w:r>
          </w:p>
        </w:tc>
      </w:tr>
    </w:tbl>
    <w:p/>
    <w:p>
      <w:pPr>
        <w:spacing w:after="140"/>
      </w:pPr>
      <w:r>
        <w:rPr>
          <w:rFonts w:ascii="Microsoft YaHei" w:hAnsi="Microsoft YaHei" w:eastAsia="Microsoft YaHei"/>
          <w:b/>
          <w:color w:val="5B6C78"/>
          <w:sz w:val="20"/>
        </w:rPr>
        <w:t xml:space="preserve">项目定位  </w:t>
      </w:r>
      <w:r>
        <w:rPr>
          <w:rFonts w:ascii="Microsoft YaHei" w:hAnsi="Microsoft YaHei" w:eastAsia="Microsoft YaHei"/>
          <w:b w:val="0"/>
          <w:color w:val="1F2F3D"/>
          <w:sz w:val="21"/>
        </w:rPr>
        <w:t>社区反馈分析案例、可复现数据处理流程、心理学双层编码、可靠性评测与自动校准原型</w:t>
      </w:r>
    </w:p>
    <w:p>
      <w:pPr>
        <w:spacing w:after="140"/>
      </w:pPr>
      <w:r>
        <w:rPr>
          <w:rFonts w:ascii="Microsoft YaHei" w:hAnsi="Microsoft YaHei" w:eastAsia="Microsoft YaHei"/>
          <w:b/>
          <w:color w:val="5B6C78"/>
          <w:sz w:val="20"/>
        </w:rPr>
        <w:t xml:space="preserve">公开产物  </w:t>
      </w:r>
      <w:r>
        <w:rPr>
          <w:rFonts w:ascii="Microsoft YaHei" w:hAnsi="Microsoft YaHei" w:eastAsia="Microsoft YaHei"/>
          <w:b w:val="0"/>
          <w:color w:val="1F2F3D"/>
          <w:sz w:val="21"/>
        </w:rPr>
        <w:t>脱敏数据、编码手册、分析页面、离线 Demo 与复现脚本</w:t>
      </w:r>
    </w:p>
    <w:p>
      <w:pPr>
        <w:spacing w:after="140"/>
      </w:pPr>
      <w:r>
        <w:rPr>
          <w:rFonts w:ascii="Microsoft YaHei" w:hAnsi="Microsoft YaHei" w:eastAsia="Microsoft YaHei"/>
          <w:b/>
          <w:color w:val="5B6C78"/>
          <w:sz w:val="20"/>
        </w:rPr>
        <w:t xml:space="preserve">版本日期  </w:t>
      </w:r>
      <w:r>
        <w:rPr>
          <w:rFonts w:ascii="Microsoft YaHei" w:hAnsi="Microsoft YaHei" w:eastAsia="Microsoft YaHei"/>
          <w:b w:val="0"/>
          <w:color w:val="1F2F3D"/>
          <w:sz w:val="21"/>
        </w:rPr>
        <w:t>2026 年 7 月</w:t>
      </w:r>
    </w:p>
    <w:p>
      <w:pPr>
        <w:spacing w:before="960"/>
      </w:pPr>
      <w:r>
        <w:rPr>
          <w:rFonts w:ascii="Microsoft YaHei" w:hAnsi="Microsoft YaHei" w:eastAsia="Microsoft YaHei"/>
          <w:b w:val="0"/>
          <w:color w:val="5B6C78"/>
          <w:sz w:val="17"/>
        </w:rPr>
        <w:t>Copyright © 2026 Sherlock0717. All rights reserved.</w:t>
      </w:r>
    </w:p>
    <w:p>
      <w:r>
        <w:br w:type="page"/>
      </w:r>
    </w:p>
    <w:p>
      <w:pPr>
        <w:pStyle w:val="Heading1"/>
      </w:pPr>
      <w:r>
        <w:t>执行摘要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PsyLens 是一个社区反馈分析案例，同时提供可复现的数据处理流程、心理学启发的双层编码方法、可靠性评测工具和可接入模型的自动校准原型。真实模型运行结果、模型之间的一致性比较和人工金标准不属于当前版本的交付范围。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PsyLens 将社区公开讨论整理成可回溯的证据单元，并用表层话题与体验机制两套编码描述问题位置和玩家体验方向。当前案例覆盖 NGA、贴吧与 B 站，每个平台等额保留 120 条样本。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公开数据包含 360 条样本和 927 条证据，平均每条样本切出 2.575 条证据。样本 ID、证据 ID、父样本关联、平台字段与文本定位检查均通过；公开文件未检出 URL，规范化后未发现文本重复组。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226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170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当前值</w:t>
            </w:r>
          </w:p>
        </w:tc>
        <w:tc>
          <w:tcPr>
            <w:tcW w:type="dxa" w:w="4819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说明</w:t>
            </w:r>
          </w:p>
        </w:tc>
      </w:tr>
      <w:tr>
        <w:trPr>
          <w:cantSplit/>
        </w:trPr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样本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360</w:t>
            </w:r>
          </w:p>
        </w:tc>
        <w:tc>
          <w:tcPr>
            <w:tcW w:type="dxa" w:w="4819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三个平台各 120 条</w:t>
            </w:r>
          </w:p>
        </w:tc>
      </w:tr>
      <w:tr>
        <w:trPr>
          <w:cantSplit/>
        </w:trPr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证据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927</w:t>
            </w:r>
          </w:p>
        </w:tc>
        <w:tc>
          <w:tcPr>
            <w:tcW w:type="dxa" w:w="4819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平均 2.575 条 / 样本</w:t>
            </w:r>
          </w:p>
        </w:tc>
      </w:tr>
      <w:tr>
        <w:trPr>
          <w:cantSplit/>
        </w:trPr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具体话题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441</w:t>
            </w:r>
          </w:p>
        </w:tc>
        <w:tc>
          <w:tcPr>
            <w:tcW w:type="dxa" w:w="4819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平衡与数值占 61.2%</w:t>
            </w:r>
          </w:p>
        </w:tc>
      </w:tr>
      <w:tr>
        <w:trPr>
          <w:cantSplit/>
        </w:trPr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已分配机制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441</w:t>
            </w:r>
          </w:p>
        </w:tc>
        <w:tc>
          <w:tcPr>
            <w:tcW w:type="dxa" w:w="4819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胜任受挫占 69.8%</w:t>
            </w:r>
          </w:p>
        </w:tc>
      </w:tr>
      <w:tr>
        <w:trPr>
          <w:cantSplit/>
        </w:trPr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机制不确定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486</w:t>
            </w:r>
          </w:p>
        </w:tc>
        <w:tc>
          <w:tcPr>
            <w:tcW w:type="dxa" w:w="4819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占全部证据 52.4%</w:t>
            </w:r>
          </w:p>
        </w:tc>
      </w:tr>
      <w:tr>
        <w:trPr>
          <w:cantSplit/>
        </w:trPr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结构回溯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100%</w:t>
            </w:r>
          </w:p>
        </w:tc>
        <w:tc>
          <w:tcPr>
            <w:tcW w:type="dxa" w:w="4819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孤立证据 0，平台错配 0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DF5F9"/>
            <w:tcBorders>
              <w:top w:val="single" w:sz="7" w:color="2176A3"/>
              <w:left w:val="single" w:sz="7" w:color="2176A3"/>
              <w:bottom w:val="single" w:sz="7" w:color="2176A3"/>
              <w:right w:val="single" w:sz="7" w:color="2176A3"/>
            </w:tcBorders>
          </w:tcPr>
          <w:p>
            <w:r>
              <w:rPr>
                <w:rFonts w:ascii="Microsoft YaHei" w:hAnsi="Microsoft YaHei" w:eastAsia="Microsoft YaHei"/>
                <w:b/>
                <w:color w:val="2176A3"/>
                <w:sz w:val="21"/>
              </w:rPr>
              <w:t>核心判断</w:t>
              <w:br/>
            </w:r>
            <w:r>
              <w:rPr>
                <w:rFonts w:ascii="Microsoft YaHei" w:hAnsi="Microsoft YaHei" w:eastAsia="Microsoft YaHei"/>
                <w:b w:val="0"/>
                <w:color w:val="1F2F3D"/>
                <w:sz w:val="20"/>
              </w:rPr>
              <w:t>主要具体话题集中在平衡与数值，主要已分配体验机制集中在胜任受挫；匹配与对局分配构成第二大具体话题。机制不确定率较高，后续重点应放在上下文补充、标签边界和双人复编码。</w:t>
            </w:r>
          </w:p>
        </w:tc>
      </w:tr>
    </w:tbl>
    <w:p>
      <w:pPr>
        <w:spacing w:after="0"/>
      </w:pPr>
    </w:p>
    <w:p>
      <w:pPr>
        <w:pStyle w:val="Heading1"/>
      </w:pPr>
      <w:r>
        <w:t>1. 项目问题与交付目标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社区反馈具有文本短、情绪强、上下文分散和平台表达习惯不同等特点。单纯统计关键词容易混合不同语境，也难以判断结论能否回到原始表达。项目围绕三个问题组织流程：</w:t>
      </w:r>
    </w:p>
    <w:p>
      <w:pPr>
        <w:pStyle w:val="ListNumber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玩家正在集中讨论哪些具体问题？</w:t>
      </w:r>
    </w:p>
    <w:p>
      <w:pPr>
        <w:pStyle w:val="ListNumber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这些问题呈现了怎样的体验机制与归因方向？</w:t>
      </w:r>
    </w:p>
    <w:p>
      <w:pPr>
        <w:pStyle w:val="ListNumber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从文本到结论的每一步是否可核查、可解释并能够复现？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交付结果包括公开脱敏样本、证据表、编码手册、心理学框架、分析页面、评测定义、离线 Demo 与本项目说明。</w:t>
      </w:r>
    </w:p>
    <w:p>
      <w:pPr>
        <w:pStyle w:val="Heading1"/>
      </w:pPr>
      <w:r>
        <w:t>2. 数据设计与样本结构</w:t>
      </w:r>
    </w:p>
    <w:p>
      <w:pPr>
        <w:pStyle w:val="Heading2"/>
      </w:pPr>
      <w:r>
        <w:t>2.1 平台与抽样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当前案例使用三个社区平台，每个平台各保留 120 条样本。等额抽样用于确保平台都能进入分析，适合比较表达结构与编码表现；平台样本数不用于推断真实讨论规模。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226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平台</w:t>
            </w:r>
          </w:p>
        </w:tc>
        <w:tc>
          <w:tcPr>
            <w:tcW w:type="dxa" w:w="170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样本数</w:t>
            </w:r>
          </w:p>
        </w:tc>
        <w:tc>
          <w:tcPr>
            <w:tcW w:type="dxa" w:w="170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证据数</w:t>
            </w:r>
          </w:p>
        </w:tc>
        <w:tc>
          <w:tcPr>
            <w:tcW w:type="dxa" w:w="226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每样本证据</w:t>
            </w:r>
          </w:p>
        </w:tc>
      </w:tr>
      <w:tr>
        <w:trPr>
          <w:cantSplit/>
        </w:trPr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B 站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120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232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1.933</w:t>
            </w:r>
          </w:p>
        </w:tc>
      </w:tr>
      <w:tr>
        <w:trPr>
          <w:cantSplit/>
        </w:trPr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NGA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120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394</w:t>
            </w:r>
          </w:p>
        </w:tc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3.283</w:t>
            </w:r>
          </w:p>
        </w:tc>
      </w:tr>
      <w:tr>
        <w:trPr>
          <w:cantSplit/>
        </w:trPr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贴吧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120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301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2.508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样本文本长度中位数为 61 字，平均 84.03 字；90% 的样本文本不超过 164 字。240 条样本日期为空，因此当前项目不进行时间趋势推断。</w:t>
      </w:r>
    </w:p>
    <w:p>
      <w:pPr>
        <w:pStyle w:val="Heading2"/>
      </w:pPr>
      <w:r>
        <w:t>2.2 样本与证据的区别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样本层保存一条完整反馈，证据层保存其中可独立判断的最小片段。一条样本可以产生零条、一条或多条证据。当前证据密度中位数为 2，90 分位为 5，最大值为 21；有 2 条样本未切出证据。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DF5F9"/>
            <w:tcBorders>
              <w:top w:val="single" w:sz="7" w:color="2176A3"/>
              <w:left w:val="single" w:sz="7" w:color="2176A3"/>
              <w:bottom w:val="single" w:sz="7" w:color="2176A3"/>
              <w:right w:val="single" w:sz="7" w:color="2176A3"/>
            </w:tcBorders>
          </w:tcPr>
          <w:p>
            <w:r>
              <w:rPr>
                <w:rFonts w:ascii="Microsoft YaHei" w:hAnsi="Microsoft YaHei" w:eastAsia="Microsoft YaHei"/>
                <w:b/>
                <w:color w:val="2176A3"/>
                <w:sz w:val="21"/>
              </w:rPr>
              <w:t>为什么需要证据层</w:t>
              <w:br/>
            </w:r>
            <w:r>
              <w:rPr>
                <w:rFonts w:ascii="Microsoft YaHei" w:hAnsi="Microsoft YaHei" w:eastAsia="Microsoft YaHei"/>
                <w:b w:val="0"/>
                <w:color w:val="1F2F3D"/>
                <w:sz w:val="20"/>
              </w:rPr>
              <w:t>完整反馈适合理解语境，证据单元适合编码和核对。两层同时保留，可以减少把复杂文本强行归入单一标签，并让数量结论回到具体原文。</w:t>
            </w:r>
          </w:p>
        </w:tc>
      </w:tr>
    </w:tbl>
    <w:p>
      <w:pPr>
        <w:spacing w:after="0"/>
      </w:pPr>
    </w:p>
    <w:p>
      <w:pPr>
        <w:pStyle w:val="Heading1"/>
      </w:pPr>
      <w:r>
        <w:t>3. 数据清洗与证据构建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数据处理以保留原意、统一结构、降低公开风险和维持回溯关系为目标。完整操作分为以下八步：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cantSplit/>
          <w:tblHeader w:val="true"/>
        </w:trPr>
        <w:tc>
          <w:tcPr>
            <w:tcW w:type="dxa" w:w="238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步骤</w:t>
            </w:r>
          </w:p>
        </w:tc>
        <w:tc>
          <w:tcPr>
            <w:tcW w:type="dxa" w:w="6406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操作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候选讨论登记</w:t>
            </w:r>
          </w:p>
        </w:tc>
        <w:tc>
          <w:tcPr>
            <w:tcW w:type="dxa" w:w="640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按平台、主题和时间窗形成候选清单，记录主帖或回复类型。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页面与回复采集</w:t>
            </w:r>
          </w:p>
        </w:tc>
        <w:tc>
          <w:tcPr>
            <w:tcW w:type="dxa" w:w="640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保存原始响应与必要上下文，登录态和缓存留在本地环境。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规则预清洗</w:t>
            </w:r>
          </w:p>
        </w:tc>
        <w:tc>
          <w:tcPr>
            <w:tcW w:type="dxa" w:w="640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删除回复头、引用残留、图片路径和多余空白，移除空文本。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内容筛选</w:t>
            </w:r>
          </w:p>
        </w:tc>
        <w:tc>
          <w:tcPr>
            <w:tcW w:type="dxa" w:w="640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排除纯标记、极短噪声、离题文本和缺少体验信息的纯攻击表达。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平台等额抽样</w:t>
            </w:r>
          </w:p>
        </w:tc>
        <w:tc>
          <w:tcPr>
            <w:tcW w:type="dxa" w:w="640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三个平台各保留 120 条，并保留时间窗、粗主题与回复类型字段。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公开脱敏</w:t>
            </w:r>
          </w:p>
        </w:tc>
        <w:tc>
          <w:tcPr>
            <w:tcW w:type="dxa" w:w="640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删除来源链接、账号和平台内部定位字段，屏蔽联系方式与文本内链接。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证据切分与编码</w:t>
            </w:r>
          </w:p>
        </w:tc>
        <w:tc>
          <w:tcPr>
            <w:tcW w:type="dxa" w:w="640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按标点切分独立片段，记录话题、机制、编码来源与纳入状态。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结构与分布审计</w:t>
            </w:r>
          </w:p>
        </w:tc>
        <w:tc>
          <w:tcPr>
            <w:tcW w:type="dxa" w:w="640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检查 ID、父样本、文本定位、重复、空值、证据密度和标签分布。</w:t>
            </w:r>
          </w:p>
        </w:tc>
      </w:tr>
    </w:tbl>
    <w:p>
      <w:pPr>
        <w:spacing w:after="0"/>
      </w:pPr>
    </w:p>
    <w:p>
      <w:pPr>
        <w:pStyle w:val="Heading2"/>
      </w:pPr>
      <w:r>
        <w:t>3.1 公开字段最小化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公开样本只保留稳定编号、平台类别、平台内顺序、时间窗、抽样粗主题、回复类型、可选日期、公开文本与迁移状态。旧公开数据同时保存内容相同的 raw_text 与 public_text，当前版本删除冗余 raw_text；47 条空表层话题统一写为 other_uncertain。</w:t>
      </w:r>
    </w:p>
    <w:p>
      <w:pPr>
        <w:pStyle w:val="Heading2"/>
      </w:pPr>
      <w:r>
        <w:t>3.2 证据切分规则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按中英文句号、问号、感叹号、分号与换行切分；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切分后清理首尾空白，默认少于 6 个字符的片段不单独进入候选；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不跨样本拼接，不补写省略信息，不改变原句立场；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每条证据文本必须能够在父样本公开文本中逐字定位；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信息不足时保留暂时不确定类别。</w:t>
      </w:r>
    </w:p>
    <w:p>
      <w:pPr>
        <w:pStyle w:val="Heading1"/>
      </w:pPr>
      <w:r>
        <w:t>4. 心理学分析框架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项目使用双层编码：表层话题记录文本正在讨论的具体问题，体验机制记录文本呈现的心理体验方向。这样既保留产品问题的具体位置，也形成跨话题比较的解释维度。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198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机制</w:t>
            </w:r>
          </w:p>
        </w:tc>
        <w:tc>
          <w:tcPr>
            <w:tcW w:type="dxa" w:w="255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理论线索</w:t>
            </w:r>
          </w:p>
        </w:tc>
        <w:tc>
          <w:tcPr>
            <w:tcW w:type="dxa" w:w="4252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文本中的操作性含义</w:t>
            </w:r>
          </w:p>
        </w:tc>
      </w:tr>
      <w:tr>
        <w:trPr>
          <w:cantSplit/>
        </w:trPr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胜任受挫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自我决定理论中的胜任需要</w:t>
            </w:r>
          </w:p>
        </w:tc>
        <w:tc>
          <w:tcPr>
            <w:tcW w:type="dxa" w:w="4252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投入难以转化为有效行动、任务完成或可理解的进步</w:t>
            </w:r>
          </w:p>
        </w:tc>
      </w:tr>
      <w:tr>
        <w:trPr>
          <w:cantSplit/>
        </w:trPr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公平受损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公平判断与组织公正</w:t>
            </w:r>
          </w:p>
        </w:tc>
        <w:tc>
          <w:tcPr>
            <w:tcW w:type="dxa" w:w="4252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将结果归因于规则、匹配、资源或数值分配不合理</w:t>
            </w:r>
          </w:p>
        </w:tc>
      </w:tr>
      <w:tr>
        <w:trPr>
          <w:cantSplit/>
        </w:trPr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信任与沟通落差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组织信任与程序透明</w:t>
            </w:r>
          </w:p>
        </w:tc>
        <w:tc>
          <w:tcPr>
            <w:tcW w:type="dxa" w:w="4252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说明、回应、承诺或反馈闭环不足</w:t>
            </w:r>
          </w:p>
        </w:tc>
      </w:tr>
      <w:tr>
        <w:trPr>
          <w:cantSplit/>
        </w:trPr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归属感下降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社群归属与共同体感</w:t>
            </w:r>
          </w:p>
        </w:tc>
        <w:tc>
          <w:tcPr>
            <w:tcW w:type="dxa" w:w="4252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与游戏、社区或身份群体出现疏离</w:t>
            </w:r>
          </w:p>
        </w:tc>
      </w:tr>
      <w:tr>
        <w:trPr>
          <w:cantSplit/>
        </w:trPr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规范与安全风险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群体规范与心理安全</w:t>
            </w:r>
          </w:p>
        </w:tc>
        <w:tc>
          <w:tcPr>
            <w:tcW w:type="dxa" w:w="4252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外挂、辱骂、骚扰、误封或举报问题</w:t>
            </w:r>
          </w:p>
        </w:tc>
      </w:tr>
      <w:tr>
        <w:trPr>
          <w:cantSplit/>
        </w:trPr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不确定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测量中的保留类别</w:t>
            </w:r>
          </w:p>
        </w:tc>
        <w:tc>
          <w:tcPr>
            <w:tcW w:type="dxa" w:w="4252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文本过短、依赖上下文或主机制无法判定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机制标签用于组织文本证据与提出待验证问题，不用于推断玩家稳定人格、临床状态或真实能力。项目采用固定纳入、排除和相邻标签裁决规则，并保留 uncertain 以控制过度解释。</w:t>
      </w:r>
    </w:p>
    <w:p>
      <w:pPr>
        <w:pStyle w:val="Heading1"/>
      </w:pPr>
      <w:r>
        <w:t>5. 分析结果</w:t>
      </w:r>
    </w:p>
    <w:p>
      <w:pPr>
        <w:pStyle w:val="Heading2"/>
      </w:pPr>
      <w:r>
        <w:t>5.1 具体话题分布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535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具体话题</w:t>
            </w:r>
          </w:p>
        </w:tc>
        <w:tc>
          <w:tcPr>
            <w:tcW w:type="dxa" w:w="170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证据数</w:t>
            </w:r>
          </w:p>
        </w:tc>
        <w:tc>
          <w:tcPr>
            <w:tcW w:type="dxa" w:w="255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占具体话题证据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平衡与数值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270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61.2%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匹配与对局分配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82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18.6%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活动与玩法设计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24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5.4%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成长与养成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20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4.5%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社区冲突与氛围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18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4.1%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沟通与透明度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13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2.9%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奖励与产出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9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2.0%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新手引导与体验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5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1.1%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在 441 条能够分配具体话题的证据中，平衡与数值为 270 条，占 61.2%；匹配与对局分配为 82 条，占 18.6%。两类合计覆盖 79.8% 的具体话题证据。</w:t>
      </w:r>
    </w:p>
    <w:p>
      <w:pPr>
        <w:pStyle w:val="Heading2"/>
      </w:pPr>
      <w:r>
        <w:t>5.2 体验机制分布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4535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已分配机制</w:t>
            </w:r>
          </w:p>
        </w:tc>
        <w:tc>
          <w:tcPr>
            <w:tcW w:type="dxa" w:w="170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证据数</w:t>
            </w:r>
          </w:p>
        </w:tc>
        <w:tc>
          <w:tcPr>
            <w:tcW w:type="dxa" w:w="255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占已分配机制证据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胜任受挫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308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69.8%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公平受损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88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20.0%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信任与沟通落差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24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5.4%</w:t>
            </w:r>
          </w:p>
        </w:tc>
      </w:tr>
      <w:tr>
        <w:trPr>
          <w:cantSplit/>
        </w:trPr>
        <w:tc>
          <w:tcPr>
            <w:tcW w:type="dxa" w:w="45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归属感下降</w:t>
            </w:r>
          </w:p>
        </w:tc>
        <w:tc>
          <w:tcPr>
            <w:tcW w:type="dxa" w:w="170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11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2.5%</w:t>
            </w:r>
          </w:p>
        </w:tc>
      </w:tr>
      <w:tr>
        <w:trPr>
          <w:cantSplit/>
        </w:trPr>
        <w:tc>
          <w:tcPr>
            <w:tcW w:type="dxa" w:w="45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规范与安全风险</w:t>
            </w:r>
          </w:p>
        </w:tc>
        <w:tc>
          <w:tcPr>
            <w:tcW w:type="dxa" w:w="170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10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2.3%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在 441 条能够明确分配机制的证据中，胜任受挫为 308 条，占 69.8%；公平受损为 88 条，占 20.0%。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FFF4DF"/>
            <w:tcBorders>
              <w:top w:val="single" w:sz="7" w:color="2176A3"/>
              <w:left w:val="single" w:sz="7" w:color="2176A3"/>
              <w:bottom w:val="single" w:sz="7" w:color="2176A3"/>
              <w:right w:val="single" w:sz="7" w:color="2176A3"/>
            </w:tcBorders>
          </w:tcPr>
          <w:p>
            <w:r>
              <w:rPr>
                <w:rFonts w:ascii="Microsoft YaHei" w:hAnsi="Microsoft YaHei" w:eastAsia="Microsoft YaHei"/>
                <w:b/>
                <w:color w:val="2176A3"/>
                <w:sz w:val="21"/>
              </w:rPr>
              <w:t>重要质量信号</w:t>
              <w:br/>
            </w:r>
            <w:r>
              <w:rPr>
                <w:rFonts w:ascii="Microsoft YaHei" w:hAnsi="Microsoft YaHei" w:eastAsia="Microsoft YaHei"/>
                <w:b w:val="0"/>
                <w:color w:val="1F2F3D"/>
                <w:sz w:val="20"/>
              </w:rPr>
              <w:t>另有 486 条证据的机制为 uncertain，占全部证据 52.4%。高不确定率提示短文本、上下文缺失和标签边界仍是主要风险。该指标应与 163 条证据纳入提醒分开理解。</w:t>
            </w:r>
          </w:p>
        </w:tc>
      </w:tr>
    </w:tbl>
    <w:p>
      <w:pPr>
        <w:spacing w:after="0"/>
      </w:pPr>
    </w:p>
    <w:p>
      <w:pPr>
        <w:pStyle w:val="Heading2"/>
      </w:pPr>
      <w:r>
        <w:t>5.3 话题 × 机制交叉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29"/>
        <w:gridCol w:w="3229"/>
        <w:gridCol w:w="3229"/>
      </w:tblGrid>
      <w:tr>
        <w:trPr>
          <w:cantSplit/>
          <w:tblHeader w:val="true"/>
        </w:trPr>
        <w:tc>
          <w:tcPr>
            <w:tcW w:type="dxa" w:w="5216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组合</w:t>
            </w:r>
          </w:p>
        </w:tc>
        <w:tc>
          <w:tcPr>
            <w:tcW w:type="dxa" w:w="1587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证据数</w:t>
            </w:r>
          </w:p>
        </w:tc>
        <w:tc>
          <w:tcPr>
            <w:tcW w:type="dxa" w:w="198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7"/>
              </w:rPr>
              <w:t>占全部证据</w:t>
            </w:r>
          </w:p>
        </w:tc>
      </w:tr>
      <w:tr>
        <w:trPr>
          <w:cantSplit/>
        </w:trPr>
        <w:tc>
          <w:tcPr>
            <w:tcW w:type="dxa" w:w="521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平衡与数值 × 胜任受挫</w:t>
            </w:r>
          </w:p>
        </w:tc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138</w:t>
            </w:r>
          </w:p>
        </w:tc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14.9%</w:t>
            </w:r>
          </w:p>
        </w:tc>
      </w:tr>
      <w:tr>
        <w:trPr>
          <w:cantSplit/>
        </w:trPr>
        <w:tc>
          <w:tcPr>
            <w:tcW w:type="dxa" w:w="521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平衡与数值 × 公平受损</w:t>
            </w:r>
          </w:p>
        </w:tc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35</w:t>
            </w:r>
          </w:p>
        </w:tc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3.8%</w:t>
            </w:r>
          </w:p>
        </w:tc>
      </w:tr>
      <w:tr>
        <w:trPr>
          <w:cantSplit/>
        </w:trPr>
        <w:tc>
          <w:tcPr>
            <w:tcW w:type="dxa" w:w="521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匹配与对局分配 × 胜任受挫</w:t>
            </w:r>
          </w:p>
        </w:tc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22</w:t>
            </w:r>
          </w:p>
        </w:tc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2.4%</w:t>
            </w:r>
          </w:p>
        </w:tc>
      </w:tr>
      <w:tr>
        <w:trPr>
          <w:cantSplit/>
        </w:trPr>
        <w:tc>
          <w:tcPr>
            <w:tcW w:type="dxa" w:w="521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匹配与对局分配 × 公平受损</w:t>
            </w:r>
          </w:p>
        </w:tc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16</w:t>
            </w:r>
          </w:p>
        </w:tc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1.7%</w:t>
            </w:r>
          </w:p>
        </w:tc>
      </w:tr>
      <w:tr>
        <w:trPr>
          <w:cantSplit/>
        </w:trPr>
        <w:tc>
          <w:tcPr>
            <w:tcW w:type="dxa" w:w="521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沟通与透明度 × 信任与沟通落差</w:t>
            </w:r>
          </w:p>
        </w:tc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13</w:t>
            </w:r>
          </w:p>
        </w:tc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1.4%</w:t>
            </w:r>
          </w:p>
        </w:tc>
      </w:tr>
      <w:tr>
        <w:trPr>
          <w:cantSplit/>
        </w:trPr>
        <w:tc>
          <w:tcPr>
            <w:tcW w:type="dxa" w:w="521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社区冲突与氛围 × 公平受损</w:t>
            </w:r>
          </w:p>
        </w:tc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8</w:t>
            </w:r>
          </w:p>
        </w:tc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0.9%</w:t>
            </w:r>
          </w:p>
        </w:tc>
      </w:tr>
      <w:tr>
        <w:trPr>
          <w:cantSplit/>
        </w:trPr>
        <w:tc>
          <w:tcPr>
            <w:tcW w:type="dxa" w:w="521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成长与养成 × 胜任受挫</w:t>
            </w:r>
          </w:p>
        </w:tc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6</w:t>
            </w:r>
          </w:p>
        </w:tc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0.6%</w:t>
            </w:r>
          </w:p>
        </w:tc>
      </w:tr>
      <w:tr>
        <w:trPr>
          <w:cantSplit/>
        </w:trPr>
        <w:tc>
          <w:tcPr>
            <w:tcW w:type="dxa" w:w="521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社区冲突与氛围 × 规范与安全风险</w:t>
            </w:r>
          </w:p>
        </w:tc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5</w:t>
            </w:r>
          </w:p>
        </w:tc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0.5%</w:t>
            </w:r>
          </w:p>
        </w:tc>
      </w:tr>
      <w:tr>
        <w:trPr>
          <w:cantSplit/>
        </w:trPr>
        <w:tc>
          <w:tcPr>
            <w:tcW w:type="dxa" w:w="5216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匹配与对局分配 × 信任与沟通落差</w:t>
            </w:r>
          </w:p>
        </w:tc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3</w:t>
            </w:r>
          </w:p>
        </w:tc>
        <w:tc>
          <w:tcPr>
            <w:tcW w:type="dxa" w:w="198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0.3%</w:t>
            </w:r>
          </w:p>
        </w:tc>
      </w:tr>
      <w:tr>
        <w:trPr>
          <w:cantSplit/>
        </w:trPr>
        <w:tc>
          <w:tcPr>
            <w:tcW w:type="dxa" w:w="5216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新手引导与体验 × 胜任受挫</w:t>
            </w:r>
          </w:p>
        </w:tc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3</w:t>
            </w:r>
          </w:p>
        </w:tc>
        <w:tc>
          <w:tcPr>
            <w:tcW w:type="dxa" w:w="198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7"/>
              </w:rPr>
              <w:t>0.3%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平衡 × 胜任受挫是数量最高的具体组合，说明角色、装备和机制强度经常与“难以发挥作用”同时出现。平衡 × 公平受损与匹配 × 公平受损提示部分玩家把负面结果归因于规则或分配方式。沟通透明 × 信任落差数量较少，但体验类型对应关系清晰。</w:t>
      </w:r>
    </w:p>
    <w:p>
      <w:pPr>
        <w:pStyle w:val="Heading2"/>
      </w:pPr>
      <w:r>
        <w:t>5.4 平台描述性比较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15"/>
        <w:gridCol w:w="1615"/>
        <w:gridCol w:w="1615"/>
        <w:gridCol w:w="1615"/>
        <w:gridCol w:w="1615"/>
        <w:gridCol w:w="1615"/>
      </w:tblGrid>
      <w:tr>
        <w:trPr>
          <w:cantSplit/>
          <w:tblHeader w:val="true"/>
        </w:trPr>
        <w:tc>
          <w:tcPr>
            <w:tcW w:type="dxa" w:w="113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平台</w:t>
            </w:r>
          </w:p>
        </w:tc>
        <w:tc>
          <w:tcPr>
            <w:tcW w:type="dxa" w:w="79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样本</w:t>
            </w:r>
          </w:p>
        </w:tc>
        <w:tc>
          <w:tcPr>
            <w:tcW w:type="dxa" w:w="850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证据</w:t>
            </w:r>
          </w:p>
        </w:tc>
        <w:tc>
          <w:tcPr>
            <w:tcW w:type="dxa" w:w="113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证据 / 样本</w:t>
            </w:r>
          </w:p>
        </w:tc>
        <w:tc>
          <w:tcPr>
            <w:tcW w:type="dxa" w:w="255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主要具体话题</w:t>
            </w:r>
          </w:p>
        </w:tc>
        <w:tc>
          <w:tcPr>
            <w:tcW w:type="dxa" w:w="226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主要机制</w:t>
            </w:r>
          </w:p>
        </w:tc>
      </w:tr>
      <w:tr>
        <w:trPr>
          <w:cantSplit/>
        </w:trPr>
        <w:tc>
          <w:tcPr>
            <w:tcW w:type="dxa" w:w="113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B 站</w:t>
            </w:r>
          </w:p>
        </w:tc>
        <w:tc>
          <w:tcPr>
            <w:tcW w:type="dxa" w:w="79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120</w:t>
            </w:r>
          </w:p>
        </w:tc>
        <w:tc>
          <w:tcPr>
            <w:tcW w:type="dxa" w:w="850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232</w:t>
            </w:r>
          </w:p>
        </w:tc>
        <w:tc>
          <w:tcPr>
            <w:tcW w:type="dxa" w:w="113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1.93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平衡与数值、匹配与对局分配、活动与玩法设计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胜任受挫、公平受损</w:t>
            </w:r>
          </w:p>
        </w:tc>
      </w:tr>
      <w:tr>
        <w:trPr>
          <w:cantSplit/>
        </w:trPr>
        <w:tc>
          <w:tcPr>
            <w:tcW w:type="dxa" w:w="113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NGA</w:t>
            </w:r>
          </w:p>
        </w:tc>
        <w:tc>
          <w:tcPr>
            <w:tcW w:type="dxa" w:w="79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120</w:t>
            </w:r>
          </w:p>
        </w:tc>
        <w:tc>
          <w:tcPr>
            <w:tcW w:type="dxa" w:w="850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394</w:t>
            </w:r>
          </w:p>
        </w:tc>
        <w:tc>
          <w:tcPr>
            <w:tcW w:type="dxa" w:w="113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3.28</w:t>
            </w:r>
          </w:p>
        </w:tc>
        <w:tc>
          <w:tcPr>
            <w:tcW w:type="dxa" w:w="255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平衡与数值、匹配与对局分配、社区冲突与氛围</w:t>
            </w:r>
          </w:p>
        </w:tc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胜任受挫、公平受损</w:t>
            </w:r>
          </w:p>
        </w:tc>
      </w:tr>
      <w:tr>
        <w:trPr>
          <w:cantSplit/>
        </w:trPr>
        <w:tc>
          <w:tcPr>
            <w:tcW w:type="dxa" w:w="113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贴吧</w:t>
            </w:r>
          </w:p>
        </w:tc>
        <w:tc>
          <w:tcPr>
            <w:tcW w:type="dxa" w:w="79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120</w:t>
            </w:r>
          </w:p>
        </w:tc>
        <w:tc>
          <w:tcPr>
            <w:tcW w:type="dxa" w:w="850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301</w:t>
            </w:r>
          </w:p>
        </w:tc>
        <w:tc>
          <w:tcPr>
            <w:tcW w:type="dxa" w:w="113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2.51</w:t>
            </w:r>
          </w:p>
        </w:tc>
        <w:tc>
          <w:tcPr>
            <w:tcW w:type="dxa" w:w="255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平衡与数值、匹配与对局分配、社区冲突与氛围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胜任受挫、公平受损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NGA 的证据密度最高，B 站最低。该差异可能来自原文长度、切分粒度和表达风格。NGA 与贴吧主要保留历史 AI 编码，B 站使用离线规则提案，编码来源差异也会影响分布，因此这里只做描述性比较。</w:t>
      </w:r>
    </w:p>
    <w:p>
      <w:pPr>
        <w:pStyle w:val="Heading2"/>
      </w:pPr>
      <w:r>
        <w:t>5.5 证据示例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1587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证据 ID</w:t>
            </w:r>
          </w:p>
        </w:tc>
        <w:tc>
          <w:tcPr>
            <w:tcW w:type="dxa" w:w="181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话题</w:t>
            </w:r>
          </w:p>
        </w:tc>
        <w:tc>
          <w:tcPr>
            <w:tcW w:type="dxa" w:w="147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机制</w:t>
            </w:r>
          </w:p>
        </w:tc>
        <w:tc>
          <w:tcPr>
            <w:tcW w:type="dxa" w:w="3969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公开文本</w:t>
            </w:r>
          </w:p>
        </w:tc>
      </w:tr>
      <w:tr>
        <w:trPr>
          <w:cantSplit/>
        </w:trPr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NGA_0021_U01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匹配与对局分配</w:t>
            </w:r>
          </w:p>
        </w:tc>
        <w:tc>
          <w:tcPr>
            <w:tcW w:type="dxa" w:w="147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公平受损</w:t>
            </w:r>
          </w:p>
        </w:tc>
        <w:tc>
          <w:tcPr>
            <w:tcW w:type="dxa" w:w="3969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匹配机制就导致了一旦你连胜或者连败，要把你近期胜率“拉”回五十接下来就会反向连胜连败</w:t>
            </w:r>
          </w:p>
        </w:tc>
      </w:tr>
      <w:tr>
        <w:trPr>
          <w:cantSplit/>
        </w:trPr>
        <w:tc>
          <w:tcPr>
            <w:tcW w:type="dxa" w:w="158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TIEBA_0004_U02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新手引导与体验</w:t>
            </w:r>
          </w:p>
        </w:tc>
        <w:tc>
          <w:tcPr>
            <w:tcW w:type="dxa" w:w="147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胜任受挫</w:t>
            </w:r>
          </w:p>
        </w:tc>
        <w:tc>
          <w:tcPr>
            <w:tcW w:type="dxa" w:w="3969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通常是莫甘娜，我新手目前英雄正在熟悉，怕坑，所以会选一些弱一点，但熟悉的英雄，为了避免伤害没打多少，还抗不了伤害，就会多出功能装</w:t>
            </w:r>
          </w:p>
        </w:tc>
      </w:tr>
      <w:tr>
        <w:trPr>
          <w:cantSplit/>
        </w:trPr>
        <w:tc>
          <w:tcPr>
            <w:tcW w:type="dxa" w:w="158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NGA_0008_U01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平衡与数值</w:t>
            </w:r>
          </w:p>
        </w:tc>
        <w:tc>
          <w:tcPr>
            <w:tcW w:type="dxa" w:w="147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公平受损</w:t>
            </w:r>
          </w:p>
        </w:tc>
        <w:tc>
          <w:tcPr>
            <w:tcW w:type="dxa" w:w="3969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现在怒气增长吃终极技能急速，残疫、钢壁甚至猎魔人都能增加怒气获取，但偏偏不吃技能急速，公理圆弧效果也不能直接涨一截怒气。</w:t>
            </w:r>
          </w:p>
        </w:tc>
      </w:tr>
    </w:tbl>
    <w:p>
      <w:pPr>
        <w:spacing w:after="0"/>
      </w:pPr>
    </w:p>
    <w:p>
      <w:pPr>
        <w:pStyle w:val="Heading1"/>
      </w:pPr>
      <w:r>
        <w:t>6. 可靠性评测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评测覆盖结构完整性、清洗与隐私、编码可用性、分析支撑和运行复现五个维度。硬性错误阻止发布，诊断指标用于解释风险与规划返修。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238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指标</w:t>
            </w:r>
          </w:p>
        </w:tc>
        <w:tc>
          <w:tcPr>
            <w:tcW w:type="dxa" w:w="136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当前值</w:t>
            </w:r>
          </w:p>
        </w:tc>
        <w:tc>
          <w:tcPr>
            <w:tcW w:type="dxa" w:w="181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判定</w:t>
            </w:r>
          </w:p>
        </w:tc>
        <w:tc>
          <w:tcPr>
            <w:tcW w:type="dxa" w:w="3231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6"/>
              </w:rPr>
              <w:t>说明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样本 ID 唯一率</w:t>
            </w:r>
          </w:p>
        </w:tc>
        <w:tc>
          <w:tcPr>
            <w:tcW w:type="dxa" w:w="136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100%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无重复样本编号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证据 ID 唯一率</w:t>
            </w:r>
          </w:p>
        </w:tc>
        <w:tc>
          <w:tcPr>
            <w:tcW w:type="dxa" w:w="136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100%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无重复证据编号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父样本关联率</w:t>
            </w:r>
          </w:p>
        </w:tc>
        <w:tc>
          <w:tcPr>
            <w:tcW w:type="dxa" w:w="136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100%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孤立证据为 0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文本回溯率</w:t>
            </w:r>
          </w:p>
        </w:tc>
        <w:tc>
          <w:tcPr>
            <w:tcW w:type="dxa" w:w="136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100%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927 条证据均可定位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平台错配</w:t>
            </w:r>
          </w:p>
        </w:tc>
        <w:tc>
          <w:tcPr>
            <w:tcW w:type="dxa" w:w="136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0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证据与父样本平台一致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公开 URL 命中</w:t>
            </w:r>
          </w:p>
        </w:tc>
        <w:tc>
          <w:tcPr>
            <w:tcW w:type="dxa" w:w="136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0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公开数据未检出链接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样本 / 证据重复组</w:t>
            </w:r>
          </w:p>
        </w:tc>
        <w:tc>
          <w:tcPr>
            <w:tcW w:type="dxa" w:w="136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0 / 0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通过</w:t>
            </w:r>
          </w:p>
        </w:tc>
        <w:tc>
          <w:tcPr>
            <w:tcW w:type="dxa" w:w="323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规范化文本扫描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无证据样本</w:t>
            </w:r>
          </w:p>
        </w:tc>
        <w:tc>
          <w:tcPr>
            <w:tcW w:type="dxa" w:w="136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2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记录</w:t>
            </w:r>
          </w:p>
        </w:tc>
        <w:tc>
          <w:tcPr>
            <w:tcW w:type="dxa" w:w="323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占样本 0.6%</w:t>
            </w:r>
          </w:p>
        </w:tc>
      </w:tr>
      <w:tr>
        <w:trPr>
          <w:cantSplit/>
        </w:trPr>
        <w:tc>
          <w:tcPr>
            <w:tcW w:type="dxa" w:w="238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机制不确定率</w:t>
            </w:r>
          </w:p>
        </w:tc>
        <w:tc>
          <w:tcPr>
            <w:tcW w:type="dxa" w:w="136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52.4%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重点诊断</w:t>
            </w:r>
          </w:p>
        </w:tc>
        <w:tc>
          <w:tcPr>
            <w:tcW w:type="dxa" w:w="3231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需要改进上下文与标签边界</w:t>
            </w:r>
          </w:p>
        </w:tc>
      </w:tr>
      <w:tr>
        <w:trPr>
          <w:cantSplit/>
        </w:trPr>
        <w:tc>
          <w:tcPr>
            <w:tcW w:type="dxa" w:w="238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缺失日期</w:t>
            </w:r>
          </w:p>
        </w:tc>
        <w:tc>
          <w:tcPr>
            <w:tcW w:type="dxa" w:w="136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240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限制时间分析</w:t>
            </w:r>
          </w:p>
        </w:tc>
        <w:tc>
          <w:tcPr>
            <w:tcW w:type="dxa" w:w="3231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6"/>
              </w:rPr>
              <w:t>日期属于可选字段</w:t>
            </w:r>
          </w:p>
        </w:tc>
      </w:tr>
    </w:tbl>
    <w:p>
      <w:pPr>
        <w:spacing w:after="0"/>
      </w:pPr>
    </w:p>
    <w:p>
      <w:pPr>
        <w:pStyle w:val="Heading2"/>
      </w:pPr>
      <w:r>
        <w:t>6.1 编码一致性评测方法（扩展）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编码一致性评测从平台、主要话题、主要机制和不确定类别中分层抽样，由两名编码者独立判断证据纳入、表层话题与机制标签。记录独立结果、争议类型、裁决理由和手册修订，并计算适用于名义变量的 Krippendorff’s alpha。Krippendorff’s alpha 是一种衡量多名编码者判断一致程度的统计量。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一致性指标需要与混淆矩阵、争议样本和返修成本一起解释。较高一致性只能说明编码者使用同一规则时结果稳定，不能单独证明体验类型划分完整或产品结论有效。</w:t>
      </w:r>
    </w:p>
    <w:p>
      <w:pPr>
        <w:pStyle w:val="Heading1"/>
      </w:pPr>
      <w:r>
        <w:t>7. 文案质量检查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公开文案由 tools/lint_public_copy.py 自动检查，覆盖 README、页面、方法文档以及 Python 中面向读者的文字。检查器识别模板化宣传词、负面框架句式、过长句子、页面中的内部工程状态和未解释的英文缩写。检查器设有发布门槛（一道自动关卡）：只有文案检查达到设定级别，页面和文档才允许发布。仓库在 Ubuntu 与 Windows 两套环境运行持续集成，包含编译检查、Ruff 静态检查、测试套件、文案质量门槛，以及一次本地固定示例校准流程的冒烟运行与公开字段安全检查。</w:t>
      </w:r>
    </w:p>
    <w:p>
      <w:pPr>
        <w:pStyle w:val="Heading1"/>
      </w:pPr>
      <w:r>
        <w:t>8. 自动校准工具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仓库提供一套编码复检与争议分析工具，用于观察标签在多次独立判断下是否稳定。它是可接入模型的自动校准原型，当前公开版本不发布模型成绩。</w:t>
      </w:r>
    </w:p>
    <w:p>
      <w:pPr>
        <w:pStyle w:val="Heading2"/>
      </w:pPr>
      <w:r>
        <w:t>8.1 分层抽样与三路复检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抽样从公开证据中取 300 条主样本，另加 30 条重测样本，按平台、话题、机制、编码来源、纳入状态和文本长度分层。重测样本用于观察同一条证据在重复判断下是否得到一致结果。两部分合并后统一编号并重新排序，公开样本只保留复检所需的脱敏字段，来源、平台、当前标签和重测关系写入私有映射文件。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三名独立 Reviewer 使用不同的判断结构，但共用同一套标签集合和定义：Reviewer A 严格依据编码手册分类；Reviewer B 先概括主要诉求再匹配标签；Reviewer C 先排除相邻标签再做判断。三名 Reviewer 互不查看彼此结果。共识分析汇总一致标签与争议标签，争议项转化为编码手册的改进提案。</w:t>
      </w:r>
    </w:p>
    <w:p>
      <w:pPr>
        <w:pStyle w:val="Heading2"/>
      </w:pPr>
      <w:r>
        <w:t>8.2 运行方式与扩展入口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工具提供两种运行方式。本地固定示例模式按关键词生成确定性示例输出，用来验证数据流、输出格式和统计流程；它只用于验证流程，不是真实模型校准结果。OpenAI-compatible 接口作为扩展入口保留，可在本地配置环境变量后接入外部模型；当前公开版本不包含真实模型运行结果，也不发布模型成绩。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88"/>
      </w:tblGrid>
      <w:tr>
        <w:tc>
          <w:tcPr>
            <w:tcW w:type="dxa" w:w="9688"/>
            <w:shd w:fill="EDF5F9"/>
            <w:tcBorders>
              <w:top w:val="single" w:sz="7" w:color="2176A3"/>
              <w:left w:val="single" w:sz="7" w:color="2176A3"/>
              <w:bottom w:val="single" w:sz="7" w:color="2176A3"/>
              <w:right w:val="single" w:sz="7" w:color="2176A3"/>
            </w:tcBorders>
          </w:tcPr>
          <w:p>
            <w:r>
              <w:rPr>
                <w:rFonts w:ascii="Microsoft YaHei" w:hAnsi="Microsoft YaHei" w:eastAsia="Microsoft YaHei"/>
                <w:b/>
                <w:color w:val="2176A3"/>
                <w:sz w:val="21"/>
              </w:rPr>
              <w:t>结果性质说明</w:t>
              <w:br/>
            </w:r>
            <w:r>
              <w:rPr>
                <w:rFonts w:ascii="Microsoft YaHei" w:hAnsi="Microsoft YaHei" w:eastAsia="Microsoft YaHei"/>
                <w:b w:val="0"/>
                <w:color w:val="1F2F3D"/>
                <w:sz w:val="20"/>
              </w:rPr>
              <w:t>本地固定示例只用于验证流程；当前版本不发布模型成绩；自动结果定位为参考，不等同于人工金标准。</w:t>
            </w:r>
          </w:p>
        </w:tc>
      </w:tr>
    </w:tbl>
    <w:p>
      <w:pPr>
        <w:spacing w:after="0"/>
      </w:pPr>
    </w:p>
    <w:p>
      <w:pPr>
        <w:pStyle w:val="Heading1"/>
      </w:pPr>
      <w:r>
        <w:t>9. 产品方向与验证设计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当前结果适合形成产品假设，后续通过独立研究验证。以下方向根据高频话题、主要机制与证据示例整理：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22"/>
        <w:gridCol w:w="2422"/>
        <w:gridCol w:w="2422"/>
        <w:gridCol w:w="2422"/>
      </w:tblGrid>
      <w:tr>
        <w:trPr>
          <w:cantSplit/>
          <w:tblHeader w:val="true"/>
        </w:trPr>
        <w:tc>
          <w:tcPr>
            <w:tcW w:type="dxa" w:w="1757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方向</w:t>
            </w:r>
          </w:p>
        </w:tc>
        <w:tc>
          <w:tcPr>
            <w:tcW w:type="dxa" w:w="1814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证据线索</w:t>
            </w:r>
          </w:p>
        </w:tc>
        <w:tc>
          <w:tcPr>
            <w:tcW w:type="dxa" w:w="294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产品假设</w:t>
            </w:r>
          </w:p>
        </w:tc>
        <w:tc>
          <w:tcPr>
            <w:tcW w:type="dxa" w:w="2268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5"/>
              </w:rPr>
              <w:t>验证指标</w:t>
            </w:r>
          </w:p>
        </w:tc>
      </w:tr>
      <w:tr>
        <w:trPr>
          <w:cantSplit/>
        </w:trPr>
        <w:tc>
          <w:tcPr>
            <w:tcW w:type="dxa" w:w="175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角色与强化适配信息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平衡 × 胜任受挫</w:t>
            </w:r>
          </w:p>
        </w:tc>
        <w:tc>
          <w:tcPr>
            <w:tcW w:type="dxa" w:w="294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在选择阶段提供强化适配、阵容缺口与风险提示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A/B 对比选择后退出率、低贡献局比例、相关负面反馈</w:t>
            </w:r>
          </w:p>
        </w:tc>
      </w:tr>
      <w:tr>
        <w:trPr>
          <w:cantSplit/>
        </w:trPr>
        <w:tc>
          <w:tcPr>
            <w:tcW w:type="dxa" w:w="175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匹配预期与解释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匹配 × 公平受损</w:t>
            </w:r>
          </w:p>
        </w:tc>
        <w:tc>
          <w:tcPr>
            <w:tcW w:type="dxa" w:w="294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提供可理解的匹配范围、队列状态和连胜连败解释</w:t>
            </w:r>
          </w:p>
        </w:tc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访谈理解度；上线前后公平归因反馈与中途退出</w:t>
            </w:r>
          </w:p>
        </w:tc>
      </w:tr>
      <w:tr>
        <w:trPr>
          <w:cantSplit/>
        </w:trPr>
        <w:tc>
          <w:tcPr>
            <w:tcW w:type="dxa" w:w="175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新手安全选择路径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新手引导 × 胜任受挫</w:t>
            </w:r>
          </w:p>
        </w:tc>
        <w:tc>
          <w:tcPr>
            <w:tcW w:type="dxa" w:w="294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按熟悉度、操作难度和团队作用提供推荐与功能装提示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新手任务成功率、首局贡献、二次参与率</w:t>
            </w:r>
          </w:p>
        </w:tc>
      </w:tr>
      <w:tr>
        <w:trPr>
          <w:cantSplit/>
        </w:trPr>
        <w:tc>
          <w:tcPr>
            <w:tcW w:type="dxa" w:w="1757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改动沟通闭环</w:t>
            </w:r>
          </w:p>
        </w:tc>
        <w:tc>
          <w:tcPr>
            <w:tcW w:type="dxa" w:w="1814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沟通透明 × 信任落差</w:t>
            </w:r>
          </w:p>
        </w:tc>
        <w:tc>
          <w:tcPr>
            <w:tcW w:type="dxa" w:w="294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公告补充改动目的、影响范围、反馈入口与后续复盘</w:t>
            </w:r>
          </w:p>
        </w:tc>
        <w:tc>
          <w:tcPr>
            <w:tcW w:type="dxa" w:w="2268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公告理解测试、反馈重复率、信任量表短项</w:t>
            </w:r>
          </w:p>
        </w:tc>
      </w:tr>
      <w:tr>
        <w:trPr>
          <w:cantSplit/>
        </w:trPr>
        <w:tc>
          <w:tcPr>
            <w:tcW w:type="dxa" w:w="1757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社区规范与处置反馈</w:t>
            </w:r>
          </w:p>
        </w:tc>
        <w:tc>
          <w:tcPr>
            <w:tcW w:type="dxa" w:w="1814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社区冲突 × 规范安全</w:t>
            </w:r>
          </w:p>
        </w:tc>
        <w:tc>
          <w:tcPr>
            <w:tcW w:type="dxa" w:w="294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优化举报分类、处置回执和高风险互动提示</w:t>
            </w:r>
          </w:p>
        </w:tc>
        <w:tc>
          <w:tcPr>
            <w:tcW w:type="dxa" w:w="2268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5"/>
              </w:rPr>
              <w:t>举报完成率、重复举报、辱骂暴露与社区安全感</w:t>
            </w:r>
          </w:p>
        </w:tc>
      </w:tr>
    </w:tbl>
    <w:p>
      <w:pPr>
        <w:spacing w:after="0"/>
      </w:pP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验证时应预先定义目标用户、干预内容、主要指标、观察窗口和停止条件。反馈数量下降需要结合活跃度、任务完成、对局质量与留存指标，避免把沉默误判为体验改善。</w:t>
      </w:r>
    </w:p>
    <w:p>
      <w:pPr>
        <w:pStyle w:val="Heading1"/>
      </w:pPr>
      <w:r>
        <w:t>10. 解释边界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三个平台各 120 条属于等额抽样设计，不能代表平台真实讨论规模或总体玩家意见占比；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证据数量受到文本长度和切分粒度影响，不能直接等同于问题强度；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当前编码包含历史 AI 结果与离线规则提案，不同编码来源的分布不可视为完全等价；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240 条样本缺少日期，当前分析不支持完整时间趋势判断；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体验机制是文本编码维度，不构成个体心理诊断；</w:t>
      </w:r>
    </w:p>
    <w:p>
      <w:pPr>
        <w:pStyle w:val="ListBullet"/>
        <w:spacing w:after="60"/>
      </w:pPr>
      <w:r>
        <w:rPr>
          <w:rFonts w:ascii="Microsoft YaHei" w:hAnsi="Microsoft YaHei" w:eastAsia="Microsoft YaHei"/>
          <w:b w:val="0"/>
          <w:color w:val="1F2F3D"/>
          <w:sz w:val="21"/>
        </w:rPr>
        <w:t>产品方向需要通过访谈、问卷、行为日志或实验验证。</w:t>
      </w:r>
    </w:p>
    <w:p>
      <w:pPr>
        <w:pStyle w:val="Heading1"/>
      </w:pPr>
      <w:r>
        <w:t>11. 复现与仓库入口</w:t>
      </w:r>
    </w:p>
    <w:p>
      <w:pPr>
        <w:widowControl/>
      </w:pPr>
      <w:r>
        <w:rPr>
          <w:rFonts w:ascii="Microsoft YaHei" w:hAnsi="Microsoft YaHei" w:eastAsia="Microsoft YaHei"/>
          <w:b w:val="0"/>
          <w:color w:val="1F2F3D"/>
          <w:sz w:val="21"/>
        </w:rPr>
        <w:t>公开数据规范化、统计汇总与 Demo 均可离线运行。</w:t>
      </w:r>
    </w:p>
    <w:p>
      <w:pPr>
        <w:ind w:left="340"/>
      </w:pPr>
      <w:r>
        <w:rPr>
          <w:rFonts w:ascii="Consolas" w:hAnsi="Consolas" w:eastAsia="Consolas"/>
          <w:b w:val="0"/>
          <w:color w:val="1C4E69"/>
          <w:sz w:val="17"/>
        </w:rPr>
        <w:t>python tools/normalize_public_dataset.py --source-dir data/public --output-dir artifacts/normalized_public</w:t>
      </w:r>
    </w:p>
    <w:p>
      <w:pPr>
        <w:ind w:left="340"/>
      </w:pPr>
      <w:r>
        <w:rPr>
          <w:rFonts w:ascii="Consolas" w:hAnsi="Consolas" w:eastAsia="Consolas"/>
          <w:b w:val="0"/>
          <w:color w:val="1C4E69"/>
          <w:sz w:val="17"/>
        </w:rPr>
        <w:t>python tools/summarize_public_analysis.py --public-dir data/public --output artifacts/public_analysis_summary.json</w:t>
      </w:r>
    </w:p>
    <w:p>
      <w:pPr>
        <w:ind w:left="340"/>
      </w:pPr>
      <w:r>
        <w:rPr>
          <w:rFonts w:ascii="Consolas" w:hAnsi="Consolas" w:eastAsia="Consolas"/>
          <w:b w:val="0"/>
          <w:color w:val="1C4E69"/>
          <w:sz w:val="17"/>
        </w:rPr>
        <w:t>python tools/run_demo.py --provider mock --output artifacts/demo/run</w:t>
      </w:r>
    </w:p>
    <w:p>
      <w:pPr>
        <w:ind w:left="340"/>
      </w:pPr>
      <w:r>
        <w:rPr>
          <w:rFonts w:ascii="Consolas" w:hAnsi="Consolas" w:eastAsia="Consolas"/>
          <w:b w:val="0"/>
          <w:color w:val="1C4E69"/>
          <w:sz w:val="17"/>
        </w:rPr>
        <w:t>python -m pytest demo/tests tests -q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cantSplit/>
          <w:tblHeader w:val="true"/>
        </w:trPr>
        <w:tc>
          <w:tcPr>
            <w:tcW w:type="dxa" w:w="2835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路径</w:t>
            </w:r>
          </w:p>
        </w:tc>
        <w:tc>
          <w:tcPr>
            <w:tcW w:type="dxa" w:w="5953"/>
            <w:shd w:fill="12304A"/>
            <w:vAlign w:val="center"/>
          </w:tcPr>
          <w:p>
            <w:pPr>
              <w:jc w:val="center"/>
            </w:pPr>
            <w:r>
              <w:rPr>
                <w:rFonts w:ascii="Microsoft YaHei" w:hAnsi="Microsoft YaHei" w:eastAsia="Microsoft YaHei"/>
                <w:b/>
                <w:color w:val="FFFFFF"/>
                <w:sz w:val="18"/>
              </w:rPr>
              <w:t>内容</w:t>
            </w:r>
          </w:p>
        </w:tc>
      </w:tr>
      <w:tr>
        <w:trPr>
          <w:cantSplit/>
        </w:trPr>
        <w:tc>
          <w:tcPr>
            <w:tcW w:type="dxa" w:w="28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data/public/</w:t>
            </w:r>
          </w:p>
        </w:tc>
        <w:tc>
          <w:tcPr>
            <w:tcW w:type="dxa" w:w="5953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公开样本、证据、文件校验记录与字段说明</w:t>
            </w:r>
          </w:p>
        </w:tc>
      </w:tr>
      <w:tr>
        <w:trPr>
          <w:cantSplit/>
        </w:trPr>
        <w:tc>
          <w:tcPr>
            <w:tcW w:type="dxa" w:w="28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docs/methodology/</w:t>
            </w:r>
          </w:p>
        </w:tc>
        <w:tc>
          <w:tcPr>
            <w:tcW w:type="dxa" w:w="5953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心理学框架、证据切分、话题与机制手册</w:t>
            </w:r>
          </w:p>
        </w:tc>
      </w:tr>
      <w:tr>
        <w:trPr>
          <w:cantSplit/>
        </w:trPr>
        <w:tc>
          <w:tcPr>
            <w:tcW w:type="dxa" w:w="28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docs/evaluation/</w:t>
            </w:r>
          </w:p>
        </w:tc>
        <w:tc>
          <w:tcPr>
            <w:tcW w:type="dxa" w:w="5953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评测方法与当前结果</w:t>
            </w:r>
          </w:p>
        </w:tc>
      </w:tr>
      <w:tr>
        <w:trPr>
          <w:cantSplit/>
        </w:trPr>
        <w:tc>
          <w:tcPr>
            <w:tcW w:type="dxa" w:w="28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pipeline/</w:t>
            </w:r>
          </w:p>
        </w:tc>
        <w:tc>
          <w:tcPr>
            <w:tcW w:type="dxa" w:w="5953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采集契约、配置与 Prompt 模板</w:t>
            </w:r>
          </w:p>
        </w:tc>
      </w:tr>
      <w:tr>
        <w:trPr>
          <w:cantSplit/>
        </w:trPr>
        <w:tc>
          <w:tcPr>
            <w:tcW w:type="dxa" w:w="2835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demo/</w:t>
            </w:r>
          </w:p>
        </w:tc>
        <w:tc>
          <w:tcPr>
            <w:tcW w:type="dxa" w:w="5953"/>
            <w:shd w:fill="FFFFFF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离线端到端示例</w:t>
            </w:r>
          </w:p>
        </w:tc>
      </w:tr>
      <w:tr>
        <w:trPr>
          <w:cantSplit/>
        </w:trPr>
        <w:tc>
          <w:tcPr>
            <w:tcW w:type="dxa" w:w="2835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tools/</w:t>
            </w:r>
          </w:p>
        </w:tc>
        <w:tc>
          <w:tcPr>
            <w:tcW w:type="dxa" w:w="5953"/>
            <w:shd w:fill="F2F4F6"/>
            <w:vAlign w:val="center"/>
          </w:tcPr>
          <w:p>
            <w:pPr>
              <w:spacing w:after="0"/>
            </w:pPr>
            <w:r>
              <w:rPr>
                <w:rFonts w:ascii="Microsoft YaHei" w:hAnsi="Microsoft YaHei" w:eastAsia="Microsoft YaHei"/>
                <w:b w:val="0"/>
                <w:color w:val="1F2F3D"/>
                <w:sz w:val="18"/>
              </w:rPr>
              <w:t>数据规范化、统计汇总与 Demo 入口</w:t>
            </w:r>
          </w:p>
        </w:tc>
      </w:tr>
    </w:tbl>
    <w:p>
      <w:pPr>
        <w:spacing w:after="0"/>
      </w:pPr>
    </w:p>
    <w:p>
      <w:pPr>
        <w:pStyle w:val="Heading1"/>
      </w:pPr>
      <w:r>
        <w:t>参考文献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Braun, V., &amp; Clarke, V. (2006). Using thematic analysis in psychology. Qualitative Research in Psychology, 3(2), 77–101.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Colquitt, J. A. (2001). On the dimensionality of organizational justice. Journal of Applied Psychology, 86(3), 386–400.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Deci, E. L., &amp; Ryan, R. M. (2000). The “what” and “why” of goal pursuits. Psychological Inquiry, 11(4), 227–268.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Krippendorff, K. (2018). Content Analysis: An Introduction to Its Methodology (4th ed.). SAGE.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Mayer, R. C., Davis, J. H., &amp; Schoorman, F. D. (1995). An integrative model of organizational trust. Academy of Management Review, 20(3), 709–734.</w:t>
      </w:r>
    </w:p>
    <w:p>
      <w:pPr>
        <w:ind w:left="397" w:hanging="397"/>
      </w:pPr>
      <w:r>
        <w:rPr>
          <w:rFonts w:ascii="Microsoft YaHei" w:hAnsi="Microsoft YaHei" w:eastAsia="Microsoft YaHei"/>
          <w:b w:val="0"/>
          <w:color w:val="1F2F3D"/>
          <w:sz w:val="18"/>
        </w:rPr>
        <w:t>McMillan, D. W., &amp; Chavis, D. M. (1986). Sense of community: A definition and theory. Journal of Community Psychology, 14(1), 6–23.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91" w:right="1276" w:bottom="1077" w:left="1276" w:header="51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5B6C78"/>
        <w:sz w:val="17"/>
      </w:rPr>
      <w:t xml:space="preserve">PsyLens  · 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Microsoft YaHei" w:hAnsi="Microsoft YaHei" w:eastAsia="Microsoft YaHei"/>
        <w:b w:val="0"/>
        <w:color w:val="5B6C78"/>
        <w:sz w:val="17"/>
      </w:rPr>
      <w:t>PsyLens｜社区反馈分析与可靠性评测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48" w:lineRule="auto" w:after="120"/>
    </w:pPr>
    <w:rPr>
      <w:rFonts w:ascii="Microsoft YaHei" w:hAnsi="Microsoft YaHei" w:eastAsia="Microsoft YaHei"/>
      <w:color w:val="1F2F3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04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15B7E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215B7E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240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